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853A" w14:textId="3589152C" w:rsidR="008E3E20" w:rsidRPr="003B6AD8" w:rsidRDefault="008E3E20" w:rsidP="003B6AD8">
      <w:pPr>
        <w:tabs>
          <w:tab w:val="left" w:pos="1303"/>
        </w:tabs>
        <w:jc w:val="right"/>
        <w:rPr>
          <w:rFonts w:cs="Arial"/>
          <w:color w:val="006600"/>
        </w:rPr>
      </w:pPr>
    </w:p>
    <w:tbl>
      <w:tblPr>
        <w:tblStyle w:val="TableGrid"/>
        <w:tblW w:w="0" w:type="auto"/>
        <w:shd w:val="clear" w:color="auto" w:fill="008000"/>
        <w:tblLook w:val="04A0" w:firstRow="1" w:lastRow="0" w:firstColumn="1" w:lastColumn="0" w:noHBand="0" w:noVBand="1"/>
      </w:tblPr>
      <w:tblGrid>
        <w:gridCol w:w="9489"/>
      </w:tblGrid>
      <w:tr w:rsidR="003B6AD8" w14:paraId="0C842558" w14:textId="77777777" w:rsidTr="00052FA5"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5C503813" w14:textId="04F0F1BD" w:rsidR="003B6AD8" w:rsidRPr="003B6AD8" w:rsidRDefault="003B6AD8" w:rsidP="00CE642F">
            <w:pPr>
              <w:tabs>
                <w:tab w:val="left" w:pos="1303"/>
              </w:tabs>
              <w:spacing w:before="60" w:after="60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Afwijkingen</w:t>
            </w:r>
            <w:r w:rsidR="00C97C90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 van de jaarlijkse bijscholing</w:t>
            </w:r>
          </w:p>
        </w:tc>
      </w:tr>
    </w:tbl>
    <w:p w14:paraId="22994B1C" w14:textId="77777777" w:rsidR="003B6AD8" w:rsidRDefault="003B6AD8" w:rsidP="00541A2F">
      <w:pPr>
        <w:tabs>
          <w:tab w:val="left" w:pos="1303"/>
        </w:tabs>
        <w:rPr>
          <w:rFonts w:cs="Arial"/>
          <w:b/>
          <w:color w:val="006600"/>
          <w:u w:val="single"/>
        </w:rPr>
      </w:pPr>
    </w:p>
    <w:p w14:paraId="5979D1C0" w14:textId="77777777" w:rsidR="00541A2F" w:rsidRPr="00B30C2A" w:rsidRDefault="00541A2F" w:rsidP="00541A2F">
      <w:pPr>
        <w:tabs>
          <w:tab w:val="left" w:pos="1303"/>
        </w:tabs>
        <w:rPr>
          <w:rFonts w:cs="Arial"/>
          <w:b/>
        </w:rPr>
      </w:pPr>
    </w:p>
    <w:p w14:paraId="3170A82A" w14:textId="77777777" w:rsidR="00541A2F" w:rsidRPr="003C0DCE" w:rsidRDefault="00541A2F" w:rsidP="00FD019F">
      <w:pPr>
        <w:tabs>
          <w:tab w:val="left" w:pos="1303"/>
        </w:tabs>
        <w:spacing w:line="276" w:lineRule="auto"/>
        <w:contextualSpacing/>
        <w:rPr>
          <w:rFonts w:cs="Arial"/>
          <w:b/>
          <w:color w:val="008000"/>
          <w:sz w:val="22"/>
          <w:szCs w:val="22"/>
        </w:rPr>
      </w:pPr>
      <w:r w:rsidRPr="003C0DCE">
        <w:rPr>
          <w:rFonts w:cs="Arial"/>
          <w:b/>
          <w:color w:val="008000"/>
          <w:sz w:val="22"/>
          <w:szCs w:val="22"/>
        </w:rPr>
        <w:t>Bijscholing van de hulpverleners</w:t>
      </w:r>
    </w:p>
    <w:p w14:paraId="49F01EEF" w14:textId="77777777" w:rsidR="00541A2F" w:rsidRPr="006A7B07" w:rsidRDefault="00541A2F" w:rsidP="00FD019F">
      <w:pPr>
        <w:tabs>
          <w:tab w:val="left" w:pos="1303"/>
        </w:tabs>
        <w:spacing w:line="276" w:lineRule="auto"/>
        <w:contextualSpacing/>
        <w:rPr>
          <w:rFonts w:cs="Arial"/>
        </w:rPr>
      </w:pPr>
    </w:p>
    <w:p w14:paraId="1BDFA233" w14:textId="0BEBE5AA" w:rsidR="00541A2F" w:rsidRPr="006A7B07" w:rsidRDefault="00541A2F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  <w:r w:rsidRPr="006A7B07">
        <w:rPr>
          <w:rFonts w:cs="Arial"/>
        </w:rPr>
        <w:t>Het KB voorziet dat in bepaalde gevallen kan afgeweken worde</w:t>
      </w:r>
      <w:r w:rsidR="00A63E83">
        <w:rPr>
          <w:rFonts w:cs="Arial"/>
        </w:rPr>
        <w:t>n van de voorgeschreven regels.</w:t>
      </w:r>
    </w:p>
    <w:p w14:paraId="6D5E3D2A" w14:textId="77777777" w:rsidR="00541A2F" w:rsidRPr="006A7B07" w:rsidRDefault="00541A2F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</w:p>
    <w:p w14:paraId="535D6EC4" w14:textId="7FB3D299" w:rsidR="00541A2F" w:rsidRPr="006A7B07" w:rsidRDefault="00541A2F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>In het KB</w:t>
      </w:r>
      <w:r w:rsidRPr="006A7B07">
        <w:rPr>
          <w:rFonts w:cs="Arial"/>
        </w:rPr>
        <w:t xml:space="preserve"> staat dat de bijscholing van hulpverleners (die minimaal 4 </w:t>
      </w:r>
      <w:r>
        <w:rPr>
          <w:rFonts w:cs="Arial"/>
        </w:rPr>
        <w:t>uur</w:t>
      </w:r>
      <w:r w:rsidRPr="006A7B07">
        <w:rPr>
          <w:rFonts w:cs="Arial"/>
        </w:rPr>
        <w:t xml:space="preserve"> moet duren) jaarlijks moet gebeuren behalve </w:t>
      </w:r>
      <w:r>
        <w:rPr>
          <w:rFonts w:cs="Arial"/>
        </w:rPr>
        <w:t>als</w:t>
      </w:r>
      <w:r w:rsidRPr="006A7B07">
        <w:rPr>
          <w:rFonts w:cs="Arial"/>
        </w:rPr>
        <w:t xml:space="preserve"> de werkgever op basis van een voorafgaande risicoanalyse en het advies van de </w:t>
      </w:r>
      <w:r w:rsidR="0029506C">
        <w:rPr>
          <w:rFonts w:cs="Arial"/>
        </w:rPr>
        <w:t>arbeid</w:t>
      </w:r>
      <w:r>
        <w:rPr>
          <w:rFonts w:cs="Arial"/>
        </w:rPr>
        <w:t>sarts</w:t>
      </w:r>
      <w:r w:rsidRPr="006A7B07">
        <w:rPr>
          <w:rFonts w:cs="Arial"/>
        </w:rPr>
        <w:t xml:space="preserve"> en het Comité kan aantonen dat de jaarli</w:t>
      </w:r>
      <w:r>
        <w:rPr>
          <w:rFonts w:cs="Arial"/>
        </w:rPr>
        <w:t xml:space="preserve">jkse bijscholing niet nodig is. </w:t>
      </w:r>
      <w:r w:rsidR="007E2C89">
        <w:rPr>
          <w:rFonts w:cs="Arial"/>
        </w:rPr>
        <w:t>Deze moet dan o</w:t>
      </w:r>
      <w:r w:rsidRPr="006A7B07">
        <w:rPr>
          <w:rFonts w:cs="Arial"/>
        </w:rPr>
        <w:t>m de twee jaar gebeuren.</w:t>
      </w:r>
    </w:p>
    <w:p w14:paraId="426F2E71" w14:textId="30A336BD" w:rsidR="00541A2F" w:rsidRDefault="00541A2F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</w:p>
    <w:p w14:paraId="0077AD95" w14:textId="7C123ED4" w:rsidR="007E2C89" w:rsidRDefault="007E2C89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  <w:r w:rsidRPr="007E2C89">
        <w:rPr>
          <w:rFonts w:cs="Arial"/>
        </w:rPr>
        <w:t>Een onbeperkte vermindering van de frequentie van de bijscholing is evenwel uitgesloten: men kan deze frequentie slechts verminderen tot minstens één keer per twee jaar.</w:t>
      </w:r>
    </w:p>
    <w:p w14:paraId="630134BD" w14:textId="77777777" w:rsidR="007E2C89" w:rsidRPr="006A7B07" w:rsidRDefault="007E2C89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</w:p>
    <w:p w14:paraId="3E558BB4" w14:textId="40511BE3" w:rsidR="00541A2F" w:rsidRDefault="00541A2F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  <w:lang w:val="nl-BE"/>
        </w:rPr>
      </w:pPr>
      <w:r w:rsidRPr="006A7B07">
        <w:rPr>
          <w:rFonts w:cs="Arial"/>
          <w:lang w:val="nl-BE"/>
        </w:rPr>
        <w:t xml:space="preserve">Wanneer een </w:t>
      </w:r>
      <w:r>
        <w:rPr>
          <w:rFonts w:cs="Arial"/>
          <w:lang w:val="nl-BE"/>
        </w:rPr>
        <w:t>medewerker</w:t>
      </w:r>
      <w:r w:rsidRPr="006A7B07">
        <w:rPr>
          <w:rFonts w:cs="Arial"/>
          <w:lang w:val="nl-BE"/>
        </w:rPr>
        <w:t xml:space="preserve"> aangeduid als hulpverlener niet heeft kunnen deelnemen aan een </w:t>
      </w:r>
      <w:r>
        <w:rPr>
          <w:rFonts w:cs="Arial"/>
          <w:lang w:val="nl-BE"/>
        </w:rPr>
        <w:t>geplande</w:t>
      </w:r>
      <w:r w:rsidRPr="006A7B07">
        <w:rPr>
          <w:rFonts w:cs="Arial"/>
          <w:lang w:val="nl-BE"/>
        </w:rPr>
        <w:t xml:space="preserve"> bijscholingssessie, moet hij een andere bijscholingssessie volgen binnen de 12 maanden die volgen op de oorspronkelijk </w:t>
      </w:r>
      <w:r>
        <w:rPr>
          <w:rFonts w:cs="Arial"/>
          <w:lang w:val="nl-BE"/>
        </w:rPr>
        <w:t>geplande</w:t>
      </w:r>
      <w:r w:rsidRPr="006A7B07">
        <w:rPr>
          <w:rFonts w:cs="Arial"/>
          <w:lang w:val="nl-BE"/>
        </w:rPr>
        <w:t xml:space="preserve"> bijscholing. </w:t>
      </w:r>
      <w:r>
        <w:rPr>
          <w:rFonts w:cs="Arial"/>
          <w:lang w:val="nl-BE"/>
        </w:rPr>
        <w:t>Als</w:t>
      </w:r>
      <w:r w:rsidRPr="006A7B07">
        <w:rPr>
          <w:rFonts w:cs="Arial"/>
          <w:lang w:val="nl-BE"/>
        </w:rPr>
        <w:t xml:space="preserve"> hij tijdens deze periode niet heeft kunnen deelnemen aan een andere sessie, wordt deze </w:t>
      </w:r>
      <w:r>
        <w:rPr>
          <w:rFonts w:cs="Arial"/>
          <w:lang w:val="nl-BE"/>
        </w:rPr>
        <w:t>medewerker</w:t>
      </w:r>
      <w:r w:rsidRPr="006A7B07">
        <w:rPr>
          <w:rFonts w:cs="Arial"/>
          <w:lang w:val="nl-BE"/>
        </w:rPr>
        <w:t xml:space="preserve"> niet langer geacht te beschikken over de kennis en vaardigheden.</w:t>
      </w:r>
    </w:p>
    <w:p w14:paraId="02A7BC85" w14:textId="3C767232" w:rsidR="007E2C89" w:rsidRPr="006A7B07" w:rsidRDefault="007E2C89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  <w:lang w:val="nl-BE"/>
        </w:rPr>
      </w:pPr>
      <w:r w:rsidRPr="007E2C89">
        <w:rPr>
          <w:rFonts w:cs="Arial"/>
          <w:lang w:val="nl-BE"/>
        </w:rPr>
        <w:t>In dat geval zal de werknemer opnieuw een volledige opleiding moeten doorlopen, zo niet wordt hij niet langer vermoed op te treden als hulpverlener.</w:t>
      </w:r>
    </w:p>
    <w:p w14:paraId="72DD4C62" w14:textId="77777777" w:rsidR="00541A2F" w:rsidRPr="006A7B07" w:rsidRDefault="00541A2F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</w:p>
    <w:p w14:paraId="2EC83D32" w14:textId="77777777" w:rsidR="00541A2F" w:rsidRPr="006A7B07" w:rsidRDefault="00541A2F" w:rsidP="003C0DCE">
      <w:pPr>
        <w:tabs>
          <w:tab w:val="left" w:pos="1303"/>
        </w:tabs>
        <w:spacing w:line="276" w:lineRule="auto"/>
        <w:contextualSpacing/>
        <w:jc w:val="both"/>
        <w:rPr>
          <w:rFonts w:cs="Arial"/>
        </w:rPr>
      </w:pPr>
      <w:r w:rsidRPr="006A7B07">
        <w:rPr>
          <w:rFonts w:cs="Arial"/>
        </w:rPr>
        <w:t xml:space="preserve">Afwijking van de jaarlijkse bijscholing is mogelijk wanneer voldaan is aan </w:t>
      </w:r>
      <w:r w:rsidRPr="003E30E5">
        <w:rPr>
          <w:rFonts w:cs="Arial"/>
          <w:b/>
        </w:rPr>
        <w:t>elk van volgende 8 voorwaarden:</w:t>
      </w:r>
      <w:r w:rsidRPr="006A7B07">
        <w:rPr>
          <w:rFonts w:cs="Arial"/>
        </w:rPr>
        <w:t xml:space="preserve"> </w:t>
      </w:r>
    </w:p>
    <w:p w14:paraId="52E068BA" w14:textId="77777777" w:rsidR="00541A2F" w:rsidRDefault="00541A2F" w:rsidP="00FD019F">
      <w:pPr>
        <w:tabs>
          <w:tab w:val="left" w:pos="1303"/>
        </w:tabs>
        <w:spacing w:line="276" w:lineRule="auto"/>
        <w:contextualSpacing/>
        <w:rPr>
          <w:rFonts w:cs="Arial"/>
        </w:rPr>
      </w:pPr>
    </w:p>
    <w:tbl>
      <w:tblPr>
        <w:tblStyle w:val="TableGrid"/>
        <w:tblW w:w="5000" w:type="pct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843"/>
        <w:gridCol w:w="1751"/>
      </w:tblGrid>
      <w:tr w:rsidR="00541A2F" w:rsidRPr="003C0DCE" w14:paraId="729473F5" w14:textId="77777777" w:rsidTr="003C0DCE">
        <w:trPr>
          <w:trHeight w:val="79"/>
        </w:trPr>
        <w:tc>
          <w:tcPr>
            <w:tcW w:w="3101" w:type="pct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E7EF1" w14:textId="77777777" w:rsidR="00541A2F" w:rsidRPr="003C0DCE" w:rsidRDefault="00541A2F" w:rsidP="003C0DCE">
            <w:pPr>
              <w:spacing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0"/>
                <w:lang w:val="nl-BE"/>
              </w:rPr>
            </w:pPr>
            <w:r w:rsidRPr="003C0DCE">
              <w:rPr>
                <w:rFonts w:cs="Arial"/>
                <w:b/>
                <w:color w:val="FFFFFF" w:themeColor="background1"/>
                <w:sz w:val="20"/>
                <w:lang w:val="nl-BE"/>
              </w:rPr>
              <w:t>Voorwaarden</w:t>
            </w:r>
          </w:p>
        </w:tc>
        <w:tc>
          <w:tcPr>
            <w:tcW w:w="974" w:type="pct"/>
            <w:shd w:val="clear" w:color="auto" w:fill="008000"/>
            <w:vAlign w:val="center"/>
          </w:tcPr>
          <w:p w14:paraId="5AF88F15" w14:textId="77777777" w:rsidR="00541A2F" w:rsidRPr="003C0DCE" w:rsidRDefault="00541A2F" w:rsidP="003C0DCE">
            <w:pPr>
              <w:spacing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3C0DCE">
              <w:rPr>
                <w:rFonts w:cs="Arial"/>
                <w:b/>
                <w:color w:val="FFFFFF" w:themeColor="background1"/>
                <w:sz w:val="20"/>
              </w:rPr>
              <w:t>JA</w:t>
            </w:r>
          </w:p>
        </w:tc>
        <w:tc>
          <w:tcPr>
            <w:tcW w:w="925" w:type="pct"/>
            <w:shd w:val="clear" w:color="auto" w:fill="008000"/>
            <w:vAlign w:val="center"/>
          </w:tcPr>
          <w:p w14:paraId="0C9606ED" w14:textId="77777777" w:rsidR="00541A2F" w:rsidRPr="003C0DCE" w:rsidRDefault="00541A2F" w:rsidP="003C0DCE">
            <w:pPr>
              <w:spacing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0"/>
                <w:lang w:val="nl-BE"/>
              </w:rPr>
            </w:pPr>
            <w:r w:rsidRPr="003C0DCE">
              <w:rPr>
                <w:rFonts w:cs="Arial"/>
                <w:b/>
                <w:color w:val="FFFFFF" w:themeColor="background1"/>
                <w:sz w:val="20"/>
                <w:lang w:val="nl-BE"/>
              </w:rPr>
              <w:t>NEE</w:t>
            </w:r>
          </w:p>
        </w:tc>
      </w:tr>
      <w:tr w:rsidR="00541A2F" w:rsidRPr="00DA7262" w14:paraId="1B8AC08A" w14:textId="77777777" w:rsidTr="003C0DCE">
        <w:trPr>
          <w:trHeight w:val="10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1713E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 xml:space="preserve">Het gaat om een onderneming of instelling met een beperkt risico </w:t>
            </w:r>
          </w:p>
          <w:p w14:paraId="37D23F73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(vb. b</w:t>
            </w:r>
            <w:r w:rsidRPr="00DA7262">
              <w:rPr>
                <w:rFonts w:cs="Arial"/>
              </w:rPr>
              <w:t>ank) of een gemiddeld risico (assemblagebedrijf, atelier) en niet om een bedrijf met een groot risico (bouw, automobiel, staalindustrie, scheikundige sector).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17D8F626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7967BB56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</w:p>
        </w:tc>
      </w:tr>
      <w:tr w:rsidR="00541A2F" w:rsidRPr="00DA7262" w14:paraId="7E6CEA93" w14:textId="77777777" w:rsidTr="003C0DCE">
        <w:trPr>
          <w:trHeight w:val="185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92FFF" w14:textId="7A4A2C4D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 xml:space="preserve">Het gaat om een activiteit zonder speciale risico’s waarvoor geen specifieke (aanvullende) </w:t>
            </w:r>
            <w:r w:rsidR="0029506C">
              <w:rPr>
                <w:rFonts w:cs="Arial"/>
              </w:rPr>
              <w:t xml:space="preserve">eerste hulp </w:t>
            </w:r>
            <w:r w:rsidRPr="00DA7262">
              <w:rPr>
                <w:rFonts w:cs="Arial"/>
              </w:rPr>
              <w:t>opleiding nodig is (zoals voor chemische agentia, biologische agentia,</w:t>
            </w:r>
            <w:r>
              <w:rPr>
                <w:rFonts w:cs="Arial"/>
              </w:rPr>
              <w:t xml:space="preserve"> …).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3C831684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b/>
                <w:lang w:val="nl-BE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0C03875E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</w:tr>
      <w:tr w:rsidR="00541A2F" w:rsidRPr="00DA7262" w14:paraId="09172E7C" w14:textId="77777777" w:rsidTr="003C0DCE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009E8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 xml:space="preserve">Het aantal </w:t>
            </w:r>
            <w:r>
              <w:rPr>
                <w:rFonts w:cs="Arial"/>
              </w:rPr>
              <w:t>medewerker</w:t>
            </w:r>
            <w:r w:rsidRPr="00DA7262">
              <w:rPr>
                <w:rFonts w:cs="Arial"/>
              </w:rPr>
              <w:t>s is beperkt tot maximaal 50 personen die tegelijkertijd aanwezig zijn.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6C38D089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5AA50E01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</w:tr>
      <w:tr w:rsidR="00541A2F" w:rsidRPr="00DA7262" w14:paraId="7A2CEEB4" w14:textId="77777777" w:rsidTr="003C0DCE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EF0A9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>Het aantal derden dat tegelijkertijd aanwezig kan zijn</w:t>
            </w:r>
            <w:r>
              <w:rPr>
                <w:rFonts w:cs="Arial"/>
              </w:rPr>
              <w:t>,</w:t>
            </w:r>
            <w:r w:rsidRPr="00DA7262">
              <w:rPr>
                <w:rFonts w:cs="Arial"/>
              </w:rPr>
              <w:t xml:space="preserve"> is beperkt tot 50 personen. De groep van derden omvat geen overmaat aan kinderen of bejaarden. 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2A436447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766ACC4F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</w:tr>
      <w:tr w:rsidR="00541A2F" w:rsidRPr="00DA7262" w14:paraId="6B852BB7" w14:textId="77777777" w:rsidTr="003C0DCE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E60E9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 xml:space="preserve">De gemiddelde leeftijd van de </w:t>
            </w:r>
            <w:r>
              <w:rPr>
                <w:rFonts w:cs="Arial"/>
              </w:rPr>
              <w:t>medewerker</w:t>
            </w:r>
            <w:r w:rsidRPr="00DA7262">
              <w:rPr>
                <w:rFonts w:cs="Arial"/>
              </w:rPr>
              <w:t>s ligt tussen 18 en 45 jaar.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10688551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14CF3085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</w:tr>
      <w:tr w:rsidR="00541A2F" w:rsidRPr="00DA7262" w14:paraId="0E6677FA" w14:textId="77777777" w:rsidTr="003C0DCE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AFDAB" w14:textId="291246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 xml:space="preserve">Uit de registratie van de </w:t>
            </w:r>
            <w:r w:rsidR="0029506C">
              <w:rPr>
                <w:rFonts w:cs="Arial"/>
              </w:rPr>
              <w:t xml:space="preserve">eerste hulp </w:t>
            </w:r>
            <w:r w:rsidRPr="00DA7262">
              <w:rPr>
                <w:rFonts w:cs="Arial"/>
              </w:rPr>
              <w:t>ongevallen (laatste 3 jaar) blijkt dat het om mineur en kleine ongevallen of incidenten ging waarvoor slechts minimale verzorging nodig was zonder werkverlet.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4812826E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092292CD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</w:tr>
      <w:tr w:rsidR="00541A2F" w:rsidRPr="00DA7262" w14:paraId="4E46160C" w14:textId="77777777" w:rsidTr="003C0DCE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55976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>Er kwamen de laatste 3 jaar geen zware ongevallen of incidenten voor in het bedrijf.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2A15BAB7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1EA8D6D3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</w:tr>
      <w:tr w:rsidR="00541A2F" w:rsidRPr="00DA7262" w14:paraId="704736CA" w14:textId="77777777" w:rsidTr="003C0DCE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8A971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</w:rPr>
            </w:pPr>
            <w:r w:rsidRPr="00DA7262">
              <w:rPr>
                <w:rFonts w:cs="Arial"/>
              </w:rPr>
              <w:t>De hulpverleners zijn gemotiveerd om hun taak uit te oefenen en scholen zelf bij.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3A194126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</w:tcPr>
          <w:p w14:paraId="75E51443" w14:textId="77777777" w:rsidR="00541A2F" w:rsidRPr="00DA7262" w:rsidRDefault="00541A2F" w:rsidP="00FD019F">
            <w:pPr>
              <w:spacing w:line="276" w:lineRule="auto"/>
              <w:contextualSpacing/>
              <w:rPr>
                <w:rFonts w:cs="Arial"/>
                <w:lang w:val="nl-BE"/>
              </w:rPr>
            </w:pPr>
          </w:p>
        </w:tc>
      </w:tr>
    </w:tbl>
    <w:p w14:paraId="770DC550" w14:textId="77777777" w:rsidR="00541A2F" w:rsidRDefault="00541A2F" w:rsidP="00FD019F">
      <w:pPr>
        <w:tabs>
          <w:tab w:val="left" w:pos="1303"/>
        </w:tabs>
        <w:spacing w:line="276" w:lineRule="auto"/>
        <w:contextualSpacing/>
        <w:rPr>
          <w:rFonts w:cs="Arial"/>
        </w:rPr>
      </w:pPr>
    </w:p>
    <w:p w14:paraId="594776BB" w14:textId="2707B21F" w:rsidR="00715401" w:rsidRDefault="00541A2F" w:rsidP="00FD019F">
      <w:pPr>
        <w:tabs>
          <w:tab w:val="left" w:pos="1303"/>
        </w:tabs>
        <w:spacing w:line="276" w:lineRule="auto"/>
        <w:contextualSpacing/>
        <w:rPr>
          <w:rFonts w:cs="Arial"/>
        </w:rPr>
      </w:pPr>
      <w:r w:rsidRPr="003E30E5">
        <w:rPr>
          <w:rFonts w:cs="Arial"/>
          <w:b/>
        </w:rPr>
        <w:t>Opmerking:</w:t>
      </w:r>
      <w:r w:rsidRPr="003E30E5">
        <w:rPr>
          <w:rFonts w:cs="Arial"/>
        </w:rPr>
        <w:t xml:space="preserve"> De ambtenaren belast met het toezicht op het Welzijn op het werk kunnen het </w:t>
      </w:r>
      <w:r>
        <w:rPr>
          <w:rFonts w:cs="Arial"/>
        </w:rPr>
        <w:t>altijd</w:t>
      </w:r>
      <w:r w:rsidRPr="003E30E5">
        <w:rPr>
          <w:rFonts w:cs="Arial"/>
        </w:rPr>
        <w:t xml:space="preserve"> nuttig achten toch een jaarlijkse bijscholing op te leggen. </w:t>
      </w:r>
    </w:p>
    <w:p w14:paraId="25A2D78D" w14:textId="77777777" w:rsidR="00715401" w:rsidRDefault="00715401" w:rsidP="00715401">
      <w:pPr>
        <w:tabs>
          <w:tab w:val="left" w:pos="1303"/>
        </w:tabs>
        <w:rPr>
          <w:rFonts w:cs="Arial"/>
        </w:rPr>
      </w:pPr>
    </w:p>
    <w:sectPr w:rsidR="00715401" w:rsidSect="00C41CFE">
      <w:headerReference w:type="default" r:id="rId11"/>
      <w:footerReference w:type="default" r:id="rId12"/>
      <w:footerReference w:type="first" r:id="rId13"/>
      <w:pgSz w:w="11901" w:h="16840" w:code="9"/>
      <w:pgMar w:top="1820" w:right="709" w:bottom="1418" w:left="1843" w:header="709" w:footer="8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428D" w14:textId="77777777" w:rsidR="000706D2" w:rsidRDefault="000706D2" w:rsidP="00B267F3">
      <w:r>
        <w:separator/>
      </w:r>
    </w:p>
  </w:endnote>
  <w:endnote w:type="continuationSeparator" w:id="0">
    <w:p w14:paraId="4BD6037E" w14:textId="77777777" w:rsidR="000706D2" w:rsidRDefault="000706D2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3C94" w14:textId="50A508B3" w:rsidR="00C41CFE" w:rsidRDefault="00C41CFE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 w:rsidRPr="0083496A"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707392" behindDoc="1" locked="0" layoutInCell="1" allowOverlap="1" wp14:anchorId="55855065" wp14:editId="0F5ED86D">
          <wp:simplePos x="0" y="0"/>
          <wp:positionH relativeFrom="column">
            <wp:posOffset>-966470</wp:posOffset>
          </wp:positionH>
          <wp:positionV relativeFrom="paragraph">
            <wp:posOffset>-665480</wp:posOffset>
          </wp:positionV>
          <wp:extent cx="7343775" cy="1377950"/>
          <wp:effectExtent l="0" t="0" r="9525" b="0"/>
          <wp:wrapThrough wrapText="bothSides">
            <wp:wrapPolygon edited="0">
              <wp:start x="21460" y="0"/>
              <wp:lineTo x="21236" y="4778"/>
              <wp:lineTo x="20563" y="9556"/>
              <wp:lineTo x="0" y="11347"/>
              <wp:lineTo x="0" y="21202"/>
              <wp:lineTo x="9077" y="21202"/>
              <wp:lineTo x="12719" y="21202"/>
              <wp:lineTo x="14120" y="20605"/>
              <wp:lineTo x="14064" y="19112"/>
              <wp:lineTo x="15072" y="19112"/>
              <wp:lineTo x="20283" y="15229"/>
              <wp:lineTo x="21572" y="4778"/>
              <wp:lineTo x="21572" y="0"/>
              <wp:lineTo x="2146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137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DCB49" w14:textId="77777777" w:rsidR="00C41CFE" w:rsidRDefault="00C41CFE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</w:p>
  <w:p w14:paraId="4AECA156" w14:textId="77777777" w:rsidR="00C41CFE" w:rsidRDefault="00C41CFE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</w:p>
  <w:p w14:paraId="0842119C" w14:textId="243CEEE2" w:rsidR="000706D2" w:rsidRPr="009B1C90" w:rsidRDefault="000706D2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 w:rsidRPr="009B1C90">
      <w:rPr>
        <w:noProof/>
      </w:rPr>
      <w:fldChar w:fldCharType="begin"/>
    </w:r>
    <w:r w:rsidRPr="009B1C90">
      <w:rPr>
        <w:noProof/>
      </w:rPr>
      <w:instrText xml:space="preserve"> PAGE  \* Arabic  \* MERGEFORMAT </w:instrText>
    </w:r>
    <w:r w:rsidRPr="009B1C90">
      <w:rPr>
        <w:noProof/>
      </w:rPr>
      <w:fldChar w:fldCharType="separate"/>
    </w:r>
    <w:r w:rsidR="006F70A1">
      <w:rPr>
        <w:noProof/>
      </w:rPr>
      <w:t>1</w:t>
    </w:r>
    <w:r w:rsidRPr="009B1C90">
      <w:rPr>
        <w:noProof/>
      </w:rPr>
      <w:fldChar w:fldCharType="end"/>
    </w:r>
    <w:r w:rsidRPr="009B1C90">
      <w:rPr>
        <w:noProof/>
      </w:rPr>
      <w:t>/</w:t>
    </w:r>
    <w:r w:rsidRPr="009B1C90">
      <w:rPr>
        <w:noProof/>
      </w:rPr>
      <w:fldChar w:fldCharType="begin"/>
    </w:r>
    <w:r w:rsidRPr="009B1C90">
      <w:rPr>
        <w:noProof/>
      </w:rPr>
      <w:instrText xml:space="preserve"> NUMPAGES  \* Arabic  \* MERGEFORMAT </w:instrText>
    </w:r>
    <w:r w:rsidRPr="009B1C90">
      <w:rPr>
        <w:noProof/>
      </w:rPr>
      <w:fldChar w:fldCharType="separate"/>
    </w:r>
    <w:r w:rsidR="006F70A1">
      <w:rPr>
        <w:noProof/>
      </w:rPr>
      <w:t>1</w:t>
    </w:r>
    <w:r w:rsidRPr="009B1C90">
      <w:rPr>
        <w:noProof/>
      </w:rPr>
      <w:fldChar w:fldCharType="end"/>
    </w:r>
    <w:r>
      <w:rPr>
        <w:noProof/>
      </w:rPr>
      <w:t xml:space="preserve">  </w:t>
    </w:r>
  </w:p>
  <w:p w14:paraId="69AA3FCC" w14:textId="3F8C54C1" w:rsidR="000706D2" w:rsidRPr="00334FCC" w:rsidRDefault="000706D2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85A8DB2" wp14:editId="452B20E6">
              <wp:simplePos x="0" y="0"/>
              <wp:positionH relativeFrom="column">
                <wp:posOffset>-1008380</wp:posOffset>
              </wp:positionH>
              <wp:positionV relativeFrom="paragraph">
                <wp:posOffset>137160</wp:posOffset>
              </wp:positionV>
              <wp:extent cx="1581150" cy="2952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F3788" w14:textId="38921DFF" w:rsidR="000706D2" w:rsidRPr="00C41CFE" w:rsidRDefault="00C41CFE">
                          <w:pPr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</w:pPr>
                          <w:r w:rsidRPr="00C41CFE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  <w:t>NSTD_codex0105_INF_06 V0</w:t>
                          </w:r>
                          <w:r w:rsidR="0029506C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A8D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9.4pt;margin-top:10.8pt;width:124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Q8egIAAGIFAAAOAAAAZHJzL2Uyb0RvYy54bWysVN9P2zAQfp+0/8Hy+0jbUSgVKepATJMQ&#10;oMHEs+vYNJrt8+xrk+6v39lJSsf2wrSX5Hz33ef76fOL1hq2VSHW4Eo+PhpxppyEqnbPJf/2eP1h&#10;xllE4SphwKmS71TkF4v3784bP1cTWIOpVGBE4uK88SVfI/p5UUS5VlbEI/DKkVFDsALpGJ6LKoiG&#10;2K0pJqPRSdFAqHwAqWIk7VVn5IvMr7WSeKd1VMhMySk2zN+Qv6v0LRbnYv4chF/Xsg9D/EMUVtSO&#10;Lt1TXQkUbBPqP6hsLQNE0HgkwRagdS1VzoGyGY9eZfOwFl7lXKg40e/LFP8frbzd3gdWVyWnRjlh&#10;qUWPqkX2CVo2S9VpfJwT6METDFtSU5cHfSRlSrrVwaY/pcPITnXe7WubyGRyms7G4ymZJNkmZ9PJ&#10;6TTRFC/ePkT8rMCyJJQ8UO9yScX2JmIHHSDpMgfXtTG5f8axpuQnH4n+NwuRG5c0Kk9CT5My6iLP&#10;Eu6MShjjvipNlcgJJEWeQXVpAtsKmh4hpXKYc8+8hE4oTUG8xbHHv0T1Fucuj+FmcLh3trWDkLN/&#10;FXb1fQhZd3iq+UHeScR21fadXkG1o0YH6BYlenldUzduRMR7EWgzqIG07XhHH22Aqg69xNkaws+/&#10;6ROeBpasnDW0aSWPPzYiKM7MF0ejfDY+Pk6rmQ/H09MJHcKhZXVocRt7CdSOMb0rXmYx4dEMog5g&#10;n+hRWKZbySScpLtLjoN4id3+06Mi1XKZQbSMXuCNe/AyUafupFl7bJ9E8P1AIo3yLQw7Keav5rLD&#10;Jk8Hyw2CrvPQpgJ3Ve0LT4ucx75/dNJLcXjOqJencfELAAD//wMAUEsDBBQABgAIAAAAIQAor+q4&#10;4QAAAAkBAAAPAAAAZHJzL2Rvd25yZXYueG1sTI9BS8NAFITvgv9heQVv7SaBhhjzUkqgCKKH1l68&#10;vSTbJHT3bcxu2+ivdz3pcZhh5ptiMxstrmpyg2WEeBWBUNzYduAO4fi+W2YgnCduSVtWCF/Kwaa8&#10;vysob+2N9+p68J0IJexyQui9H3MpXdMrQ25lR8XBO9nJkA9y6mQ70S2UGy2TKEqloYHDQk+jqnrV&#10;nA8Xg/BS7d5oXycm+9bV8+tpO34eP9aID4t5+wTCq9n/heEXP6BDGZhqe+HWCY2wjNdZYPcISZyC&#10;CInHKAFRI6RZDLIs5P8H5Q8AAAD//wMAUEsBAi0AFAAGAAgAAAAhALaDOJL+AAAA4QEAABMAAAAA&#10;AAAAAAAAAAAAAAAAAFtDb250ZW50X1R5cGVzXS54bWxQSwECLQAUAAYACAAAACEAOP0h/9YAAACU&#10;AQAACwAAAAAAAAAAAAAAAAAvAQAAX3JlbHMvLnJlbHNQSwECLQAUAAYACAAAACEARHKEPHoCAABi&#10;BQAADgAAAAAAAAAAAAAAAAAuAgAAZHJzL2Uyb0RvYy54bWxQSwECLQAUAAYACAAAACEAKK/quOEA&#10;AAAJAQAADwAAAAAAAAAAAAAAAADUBAAAZHJzL2Rvd25yZXYueG1sUEsFBgAAAAAEAAQA8wAAAOIF&#10;AAAAAA==&#10;" filled="f" stroked="f" strokeweight=".5pt">
              <v:textbox>
                <w:txbxContent>
                  <w:p w14:paraId="043F3788" w14:textId="38921DFF" w:rsidR="000706D2" w:rsidRPr="00C41CFE" w:rsidRDefault="00C41CFE">
                    <w:pPr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</w:pPr>
                    <w:r w:rsidRPr="00C41CFE"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  <w:t>NSTD_codex0105_INF_06 V0</w:t>
                    </w:r>
                    <w:r w:rsidR="0029506C"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5812" w14:textId="77777777" w:rsidR="000706D2" w:rsidRPr="00850AF7" w:rsidRDefault="000706D2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88AF17" wp14:editId="73B1C54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C27B" w14:textId="77777777"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8AF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14:paraId="447DC27B" w14:textId="77777777"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5E9BF96" wp14:editId="7367A280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99797" w14:textId="77777777" w:rsidR="000706D2" w:rsidRDefault="000706D2" w:rsidP="00B267F3">
      <w:r>
        <w:separator/>
      </w:r>
    </w:p>
  </w:footnote>
  <w:footnote w:type="continuationSeparator" w:id="0">
    <w:p w14:paraId="4392817A" w14:textId="77777777" w:rsidR="000706D2" w:rsidRDefault="000706D2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28BF" w14:textId="23DAAECC" w:rsidR="00C41CFE" w:rsidRDefault="00C41CF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705344" behindDoc="1" locked="0" layoutInCell="1" allowOverlap="1" wp14:anchorId="17709A15" wp14:editId="7441C1DD">
          <wp:simplePos x="0" y="0"/>
          <wp:positionH relativeFrom="column">
            <wp:posOffset>-578485</wp:posOffset>
          </wp:positionH>
          <wp:positionV relativeFrom="paragraph">
            <wp:posOffset>-47625</wp:posOffset>
          </wp:positionV>
          <wp:extent cx="1889760" cy="62992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F3"/>
    <w:rsid w:val="000073F2"/>
    <w:rsid w:val="00046187"/>
    <w:rsid w:val="00052FA5"/>
    <w:rsid w:val="000706D2"/>
    <w:rsid w:val="000718AB"/>
    <w:rsid w:val="000745B1"/>
    <w:rsid w:val="0008316E"/>
    <w:rsid w:val="000902E6"/>
    <w:rsid w:val="000A3BE2"/>
    <w:rsid w:val="00103DA9"/>
    <w:rsid w:val="00136C6F"/>
    <w:rsid w:val="00167DC6"/>
    <w:rsid w:val="001D75B1"/>
    <w:rsid w:val="001F6562"/>
    <w:rsid w:val="001F68AC"/>
    <w:rsid w:val="0022239A"/>
    <w:rsid w:val="002677C3"/>
    <w:rsid w:val="0029506C"/>
    <w:rsid w:val="002C0E58"/>
    <w:rsid w:val="002D4E92"/>
    <w:rsid w:val="002E0285"/>
    <w:rsid w:val="003062D5"/>
    <w:rsid w:val="00307BDB"/>
    <w:rsid w:val="00317467"/>
    <w:rsid w:val="003457EA"/>
    <w:rsid w:val="0037229E"/>
    <w:rsid w:val="003B6AD8"/>
    <w:rsid w:val="003C0DCE"/>
    <w:rsid w:val="003D1052"/>
    <w:rsid w:val="003E0596"/>
    <w:rsid w:val="003E391A"/>
    <w:rsid w:val="003F6583"/>
    <w:rsid w:val="00400F40"/>
    <w:rsid w:val="004847ED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B1570"/>
    <w:rsid w:val="00600793"/>
    <w:rsid w:val="00623225"/>
    <w:rsid w:val="00631BD3"/>
    <w:rsid w:val="00637AA5"/>
    <w:rsid w:val="006872FD"/>
    <w:rsid w:val="006A195A"/>
    <w:rsid w:val="006F32A6"/>
    <w:rsid w:val="006F70A1"/>
    <w:rsid w:val="00715401"/>
    <w:rsid w:val="007432EA"/>
    <w:rsid w:val="007550AD"/>
    <w:rsid w:val="007A3BA6"/>
    <w:rsid w:val="007B7610"/>
    <w:rsid w:val="007B78D1"/>
    <w:rsid w:val="007E2C89"/>
    <w:rsid w:val="007E4E35"/>
    <w:rsid w:val="00802DB5"/>
    <w:rsid w:val="00817ADA"/>
    <w:rsid w:val="008429A0"/>
    <w:rsid w:val="0085690B"/>
    <w:rsid w:val="00856BEA"/>
    <w:rsid w:val="00864C7B"/>
    <w:rsid w:val="008C1863"/>
    <w:rsid w:val="008E275D"/>
    <w:rsid w:val="008E3E20"/>
    <w:rsid w:val="009343A2"/>
    <w:rsid w:val="009369DD"/>
    <w:rsid w:val="009877D9"/>
    <w:rsid w:val="009A5A6E"/>
    <w:rsid w:val="009B1C90"/>
    <w:rsid w:val="009B6D83"/>
    <w:rsid w:val="00A20E5C"/>
    <w:rsid w:val="00A63E83"/>
    <w:rsid w:val="00AC3A79"/>
    <w:rsid w:val="00B027AC"/>
    <w:rsid w:val="00B03E20"/>
    <w:rsid w:val="00B15E06"/>
    <w:rsid w:val="00B267F3"/>
    <w:rsid w:val="00B30C2A"/>
    <w:rsid w:val="00B61FD7"/>
    <w:rsid w:val="00B906BA"/>
    <w:rsid w:val="00B916BE"/>
    <w:rsid w:val="00BD55C4"/>
    <w:rsid w:val="00C273D8"/>
    <w:rsid w:val="00C41CFE"/>
    <w:rsid w:val="00C7168A"/>
    <w:rsid w:val="00C97C90"/>
    <w:rsid w:val="00CE642F"/>
    <w:rsid w:val="00D00323"/>
    <w:rsid w:val="00D34119"/>
    <w:rsid w:val="00D61752"/>
    <w:rsid w:val="00D63992"/>
    <w:rsid w:val="00D8085E"/>
    <w:rsid w:val="00D818C5"/>
    <w:rsid w:val="00DF2F11"/>
    <w:rsid w:val="00E13DBA"/>
    <w:rsid w:val="00E26556"/>
    <w:rsid w:val="00EA21F3"/>
    <w:rsid w:val="00EB3531"/>
    <w:rsid w:val="00ED3364"/>
    <w:rsid w:val="00ED4171"/>
    <w:rsid w:val="00EE09A3"/>
    <w:rsid w:val="00F278F7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9920EF"/>
  <w15:docId w15:val="{2BC6DCE1-1534-4A5C-ACA4-E96C63EC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opgenomen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FDE36-CC5A-403B-A0D0-DBAB1FD94A6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bc68e07-318d-4977-9c6d-10a9e49bd873"/>
    <ds:schemaRef ds:uri="b12cf2b1-6157-4869-be7f-ac0bc6ac6e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0DB17-4EC4-4273-83D9-BADE620C3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EB94B-6EFD-4E6E-A8A7-612FBE457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EHBO Afwijkingen</vt:lpstr>
    </vt:vector>
  </TitlesOfParts>
  <Company>Mensura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 Afwijkingen</dc:title>
  <dc:creator>Verlinden Sanne</dc:creator>
  <cp:lastModifiedBy>Coopmans Sigrid</cp:lastModifiedBy>
  <cp:revision>3</cp:revision>
  <cp:lastPrinted>2017-05-18T07:37:00Z</cp:lastPrinted>
  <dcterms:created xsi:type="dcterms:W3CDTF">2021-02-12T10:06:00Z</dcterms:created>
  <dcterms:modified xsi:type="dcterms:W3CDTF">2021-02-12T10:10:00Z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52293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